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0B4" w:rsidRPr="000D10B4" w:rsidRDefault="000D10B4" w:rsidP="000D10B4">
      <w:pPr>
        <w:jc w:val="center"/>
        <w:rPr>
          <w:b/>
        </w:rPr>
      </w:pPr>
      <w:r w:rsidRPr="000D10B4">
        <w:rPr>
          <w:b/>
        </w:rPr>
        <w:t xml:space="preserve">Wytyczne do włączenia sygnalizacji świetlnej </w:t>
      </w:r>
      <w:r w:rsidRPr="000D10B4">
        <w:rPr>
          <w:b/>
        </w:rPr>
        <w:br/>
        <w:t xml:space="preserve">na przejściu dla pieszych przez ulicę Armii Krajowej </w:t>
      </w:r>
      <w:r w:rsidRPr="000D10B4">
        <w:rPr>
          <w:b/>
        </w:rPr>
        <w:br/>
        <w:t>do systemu ITS w zakresie funkcjonalnym i programowym</w:t>
      </w:r>
    </w:p>
    <w:p w:rsidR="000D10B4" w:rsidRDefault="000D10B4" w:rsidP="00F83834">
      <w:pPr>
        <w:pStyle w:val="Akapitzlist"/>
        <w:numPr>
          <w:ilvl w:val="0"/>
          <w:numId w:val="3"/>
        </w:numPr>
        <w:jc w:val="both"/>
      </w:pPr>
      <w:r>
        <w:t xml:space="preserve">Projektowaną sygnalizację świetlną należy w całości kompleksowo zaimplementować w systemie ITS poprzez włączenia sygnalizacji świetlnej do centralnego systemu sterowania ruchem SCATS ze szczególnym uwzględnieniem konfiguracji w niniejszym programie. Należy wskazany obiekt włączyć w koordynację obecnie funkcjonującą w ciągu ulicy Wyszyńskiego. Należy zapewnić podłączenie sygnalizacji świetlnej do systemu ITS „Inteligentne systemy transportowe w Bydgoszczy” – siedziby Centrum Zarządzania Ruchem i Transportem ZDMiKP przy ul. Toruńskiej 180a w celu zapewnienia dwustronnej wymiany danych pomiędzy  sterownikiem a </w:t>
      </w:r>
      <w:proofErr w:type="spellStart"/>
      <w:r>
        <w:t>CZRiT</w:t>
      </w:r>
      <w:proofErr w:type="spellEnd"/>
      <w:r>
        <w:t xml:space="preserve">. Implementacja nowych sterowników sygnalizacji świetlnej do systemu ITS (SCATS) winna zapewniać zachowanie koordynacji z już istniejącymi obiektami sygnalizacji świetlnej na skrzyżowaniu ulic Wyszyńskiego i Kamiennej. Ponadto w ramach zadania należy przeprowadzić implementację do systemu ITS z wykorzystaniem istniejącego sterownika sygnalizacji świetlnej tj. </w:t>
      </w:r>
      <w:r w:rsidR="00F83834">
        <w:t>ASR 2008-2012 PL.</w:t>
      </w:r>
      <w:r w:rsidR="004740B7">
        <w:t xml:space="preserve"> Projekt sygnalizacji świetlnej wykonać zgodnie z załączonymi wytycznymi. Włączenia do sieci ITS dokonać na podstawie </w:t>
      </w:r>
      <w:proofErr w:type="spellStart"/>
      <w:r w:rsidR="004740B7">
        <w:t>nizej</w:t>
      </w:r>
      <w:proofErr w:type="spellEnd"/>
      <w:r w:rsidR="004740B7">
        <w:t xml:space="preserve"> określonych wytycznych. </w:t>
      </w:r>
      <w:bookmarkStart w:id="0" w:name="_GoBack"/>
      <w:bookmarkEnd w:id="0"/>
    </w:p>
    <w:p w:rsidR="00533384" w:rsidRDefault="00F83834" w:rsidP="00533384">
      <w:pPr>
        <w:pStyle w:val="Akapitzlist"/>
        <w:numPr>
          <w:ilvl w:val="0"/>
          <w:numId w:val="3"/>
        </w:numPr>
      </w:pPr>
      <w:r>
        <w:t xml:space="preserve">Jako punkt przyłączenia sygnalizacji Wyszyńskiego – cmentarz do sieci systemu ITS należy przyjąć </w:t>
      </w:r>
      <w:r w:rsidR="00533384">
        <w:t>studni</w:t>
      </w:r>
      <w:r>
        <w:t>ę</w:t>
      </w:r>
      <w:r w:rsidR="00533384">
        <w:t xml:space="preserve"> SK2 tablicy VMS_15.</w:t>
      </w:r>
      <w:r w:rsidR="00787CB9">
        <w:t xml:space="preserve"> Tablica zlokalizowana na ul. Armii Krajowej na wysokości ul. Czerkawskiej.</w:t>
      </w:r>
      <w:r w:rsidR="00533384">
        <w:t xml:space="preserve"> Do włączenia sterownika wykorzystać </w:t>
      </w:r>
      <w:r w:rsidR="001028C4">
        <w:t xml:space="preserve">dwa zapasowe włókna kabla tablicy VMS_15 (410/OTK 4J). </w:t>
      </w:r>
    </w:p>
    <w:p w:rsidR="00150A75" w:rsidRDefault="001028C4" w:rsidP="00533384">
      <w:pPr>
        <w:pStyle w:val="Akapitzlist"/>
        <w:numPr>
          <w:ilvl w:val="0"/>
          <w:numId w:val="3"/>
        </w:numPr>
      </w:pPr>
      <w:r>
        <w:t>W studni SK2 wykonać mufę kablową łączącą kabel 410/OTK 4J z kablem prowadzonym w nowoprojektowanej kanalizacji do sterownika</w:t>
      </w:r>
      <w:r w:rsidR="009072B6">
        <w:t xml:space="preserve"> przejścia dla pieszych</w:t>
      </w:r>
      <w:r>
        <w:t>.</w:t>
      </w:r>
    </w:p>
    <w:p w:rsidR="001028C4" w:rsidRDefault="001028C4" w:rsidP="006B4AD6">
      <w:pPr>
        <w:pStyle w:val="Akapitzlist"/>
        <w:numPr>
          <w:ilvl w:val="0"/>
          <w:numId w:val="3"/>
        </w:numPr>
      </w:pPr>
      <w:r>
        <w:t>Zaimplementować istniejący s</w:t>
      </w:r>
      <w:r w:rsidR="00F83834">
        <w:t xml:space="preserve">terownik do systemu ITS (SCATS). </w:t>
      </w:r>
      <w:r>
        <w:t>W szafie sterownika sygnalizacji przejścia dla pieszych umieścić przemysłowy przełącznik sieciowy umożlwiający montaż na szynie DIN.</w:t>
      </w:r>
    </w:p>
    <w:p w:rsidR="001028C4" w:rsidRDefault="001028C4" w:rsidP="00533384">
      <w:pPr>
        <w:pStyle w:val="Akapitzlist"/>
        <w:numPr>
          <w:ilvl w:val="0"/>
          <w:numId w:val="3"/>
        </w:numPr>
      </w:pPr>
      <w:r>
        <w:t>Projektowany kabel 4J zakończyć w szafie sterownika na przełącznicy z złączami SC.</w:t>
      </w:r>
    </w:p>
    <w:p w:rsidR="001028C4" w:rsidRDefault="001028C4" w:rsidP="00533384">
      <w:pPr>
        <w:pStyle w:val="Akapitzlist"/>
        <w:numPr>
          <w:ilvl w:val="0"/>
          <w:numId w:val="3"/>
        </w:numPr>
      </w:pPr>
      <w:r>
        <w:t>Wykonać połączenie zapasowych włókien kabla 410/OTK 4J do przełącznika w szafie sterownika Wyszyńskiego – Kamienna. Przełącznik wyposażyć w niezbędne moduły światłowodowe.</w:t>
      </w:r>
    </w:p>
    <w:p w:rsidR="001028C4" w:rsidRDefault="009072B6" w:rsidP="00533384">
      <w:pPr>
        <w:pStyle w:val="Akapitzlist"/>
        <w:numPr>
          <w:ilvl w:val="0"/>
          <w:numId w:val="3"/>
        </w:numPr>
      </w:pPr>
      <w:r>
        <w:t>W lokalizacji przebudowywanego przejścia dla pieszych zaprojektować kamerę CCTV i włączyć ją do systemu ITS. Kamerę podłączyć do przełącznika w szafie sterownika wykorzystując połączenie po komputerowej skrętce do zastosowań zewnętrznych lub o ile odległość kamery od sterownika będzie większa niż 90 metrów wykorzystać kabel światłowodowy 4J.</w:t>
      </w:r>
    </w:p>
    <w:p w:rsidR="00787CB9" w:rsidRDefault="00787CB9" w:rsidP="00533384">
      <w:pPr>
        <w:pStyle w:val="Akapitzlist"/>
        <w:numPr>
          <w:ilvl w:val="0"/>
          <w:numId w:val="3"/>
        </w:numPr>
      </w:pPr>
      <w:r>
        <w:t>Zapewnić możliwość współpracy kamery CCTV z istniejącym serwerem wizyjnym firmy Nuuo zlokalizowanym w CZRIT (niezbędne licencje).</w:t>
      </w:r>
    </w:p>
    <w:p w:rsidR="009072B6" w:rsidRDefault="00787CB9" w:rsidP="00533384">
      <w:pPr>
        <w:pStyle w:val="Akapitzlist"/>
        <w:numPr>
          <w:ilvl w:val="0"/>
          <w:numId w:val="3"/>
        </w:numPr>
      </w:pPr>
      <w:r>
        <w:t>Zaprojektować kamerę szybkoobrotową o parametrach nie gorszych niż: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pełnoobrotowy ruchomy punkt kamerowy (obrót poziomy 360 º, obrót pionowy 90 º)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przystosowany do pracy w warunkach zewnętrznych (klasa szczelności : IP66, poprawna praca w temperaturach -30 / + 50º C)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wyposażony w port Ethernet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 xml:space="preserve">kamera Dzień/Noc, 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obiektyw zmotoryzowany zoom min 30x, z automatyką ostrości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rozdzielczość kamery  4CIF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prędkość obrotu w trybie automatycznym: 400º/s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lokalna pamięć umożliwiająca zapis zdarzeń podczas awarii sieci transmisyjnej min. 2GB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lastRenderedPageBreak/>
        <w:t>dwukierunkowa transmisja fonii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min. jedno wejście alarmowe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 xml:space="preserve">zasilanie High </w:t>
      </w:r>
      <w:proofErr w:type="spellStart"/>
      <w:r>
        <w:t>PoE</w:t>
      </w:r>
      <w:proofErr w:type="spellEnd"/>
    </w:p>
    <w:p w:rsidR="00787CB9" w:rsidRDefault="00787CB9" w:rsidP="00787CB9">
      <w:pPr>
        <w:pStyle w:val="Akapitzlist"/>
        <w:numPr>
          <w:ilvl w:val="1"/>
          <w:numId w:val="6"/>
        </w:numPr>
      </w:pPr>
      <w:r>
        <w:t>transmisja sygnału poprzez sieć z wykorzystaniem protokołów TCP/IP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synchronizacja czasu względem serwera NTP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możliwość pracy 3-strumieniowej H264, MPEG4, M-JPEG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 xml:space="preserve">współpraca  z cyfrowym rejestratorem obrazu umieszczonym w serwerowni Centrum Sterowania Ruchem (Nuuo </w:t>
      </w:r>
      <w:r w:rsidRPr="00DB78AC">
        <w:t xml:space="preserve"> NT-8040R</w:t>
      </w:r>
      <w:r>
        <w:t>)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 xml:space="preserve">prędkość transmisji do 25 </w:t>
      </w:r>
      <w:proofErr w:type="spellStart"/>
      <w:r>
        <w:t>pps</w:t>
      </w:r>
      <w:proofErr w:type="spellEnd"/>
      <w:r>
        <w:t xml:space="preserve"> </w:t>
      </w:r>
    </w:p>
    <w:p w:rsidR="00787CB9" w:rsidRDefault="00787CB9" w:rsidP="00787CB9">
      <w:pPr>
        <w:pStyle w:val="Akapitzlist"/>
        <w:numPr>
          <w:ilvl w:val="1"/>
          <w:numId w:val="6"/>
        </w:numPr>
      </w:pPr>
      <w:r>
        <w:t>możliwość zapamiętania min. 30 położeń, 4 tras i 8 stref prywatności</w:t>
      </w:r>
    </w:p>
    <w:p w:rsidR="00787CB9" w:rsidRDefault="00787CB9" w:rsidP="00787CB9">
      <w:pPr>
        <w:pStyle w:val="Akapitzlist"/>
        <w:numPr>
          <w:ilvl w:val="0"/>
          <w:numId w:val="3"/>
        </w:numPr>
      </w:pPr>
      <w:r>
        <w:t>Projektowany przełącznik sieciowy o parametrach nie gorszych niż: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 xml:space="preserve">10-portowy, switch zarządzalny (w tym 3 gigabitowe porty </w:t>
      </w:r>
      <w:proofErr w:type="spellStart"/>
      <w:r>
        <w:t>combo</w:t>
      </w:r>
      <w:proofErr w:type="spellEnd"/>
      <w:r>
        <w:t xml:space="preserve"> oraz 7 portów Fast Ethernet)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Możliwość instalacji do 3 modułów SFP (3 porty gigabitowe typu Combo tj. RJ45 lub SFP)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 xml:space="preserve">Wsparcie protokołów </w:t>
      </w:r>
      <w:proofErr w:type="spellStart"/>
      <w:r>
        <w:t>EtherNet</w:t>
      </w:r>
      <w:proofErr w:type="spellEnd"/>
      <w:r>
        <w:t xml:space="preserve">/IP, PROFINET oraz </w:t>
      </w:r>
      <w:proofErr w:type="spellStart"/>
      <w:r>
        <w:t>Modbus</w:t>
      </w:r>
      <w:proofErr w:type="spellEnd"/>
      <w:r>
        <w:t>/TCP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Protokoły Moxa Turbo Ring, RSTP/STP, MSTP dla zapewnienia redundancji sieci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Programowe wsparcie obsługi standardu IEEE 1588 (PTP v2)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EF4454">
        <w:rPr>
          <w:lang w:val="en-US"/>
        </w:rPr>
        <w:t>Obsługa</w:t>
      </w:r>
      <w:proofErr w:type="spellEnd"/>
      <w:r w:rsidRPr="00EF4454">
        <w:rPr>
          <w:lang w:val="en-US"/>
        </w:rPr>
        <w:t xml:space="preserve"> </w:t>
      </w:r>
      <w:proofErr w:type="spellStart"/>
      <w:r w:rsidRPr="00EF4454">
        <w:rPr>
          <w:lang w:val="en-US"/>
        </w:rPr>
        <w:t>QoS</w:t>
      </w:r>
      <w:proofErr w:type="spellEnd"/>
      <w:r w:rsidRPr="00EF4454">
        <w:rPr>
          <w:lang w:val="en-US"/>
        </w:rPr>
        <w:t>, IGMP Snooping/GMRP, VLAN, LACP, SNMP, RMON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 xml:space="preserve">Bezpieczeństwo transmisji dzięki zastosowaniu RADIUS, TACACS+, SNMPv3, IEEE 802.1x, HTTPS, SSH, oraz funkcji MAC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sticky</w:t>
      </w:r>
      <w:proofErr w:type="spellEnd"/>
    </w:p>
    <w:p w:rsidR="00787CB9" w:rsidRDefault="00787CB9" w:rsidP="00787CB9">
      <w:pPr>
        <w:pStyle w:val="Akapitzlist"/>
        <w:numPr>
          <w:ilvl w:val="0"/>
          <w:numId w:val="5"/>
        </w:numPr>
      </w:pPr>
      <w:r>
        <w:t>Wsparcie protokołu V-ON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Konfiguracja urządzenia poprzez wbudowany port USB (poprzez komputer bądź adapter ABC-02)</w:t>
      </w:r>
    </w:p>
    <w:p w:rsidR="00787CB9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Standardy</w:t>
      </w:r>
      <w:proofErr w:type="spellEnd"/>
      <w:r>
        <w:rPr>
          <w:lang w:val="en-US"/>
        </w:rPr>
        <w:t xml:space="preserve"> </w:t>
      </w:r>
      <w:r w:rsidRPr="00EF4454">
        <w:rPr>
          <w:lang w:val="en-US"/>
        </w:rPr>
        <w:t>IEEE 802.3 for 10BaseT</w:t>
      </w:r>
      <w:r>
        <w:rPr>
          <w:lang w:val="en-US"/>
        </w:rPr>
        <w:t xml:space="preserve">, </w:t>
      </w:r>
      <w:r w:rsidRPr="00EF4454">
        <w:rPr>
          <w:lang w:val="en-US"/>
        </w:rPr>
        <w:t>IEEE 802.3u for 100BaseT(X) and 100BaseFX</w:t>
      </w:r>
      <w:r>
        <w:rPr>
          <w:lang w:val="en-US"/>
        </w:rPr>
        <w:t xml:space="preserve">, </w:t>
      </w:r>
      <w:r w:rsidRPr="00EF4454">
        <w:rPr>
          <w:lang w:val="en-US"/>
        </w:rPr>
        <w:t>IEEE 802.3ab for 1000BaseT(X)</w:t>
      </w:r>
      <w:r>
        <w:rPr>
          <w:lang w:val="en-US"/>
        </w:rPr>
        <w:t xml:space="preserve">, </w:t>
      </w:r>
      <w:r w:rsidRPr="00EF4454">
        <w:rPr>
          <w:lang w:val="en-US"/>
        </w:rPr>
        <w:t>IEEE 802.3z for 1000BaseX</w:t>
      </w:r>
      <w:r>
        <w:rPr>
          <w:lang w:val="en-US"/>
        </w:rPr>
        <w:t xml:space="preserve">, </w:t>
      </w:r>
      <w:r w:rsidRPr="00EF4454">
        <w:rPr>
          <w:lang w:val="en-US"/>
        </w:rPr>
        <w:t>IEEE 802.3x for Flow Control</w:t>
      </w:r>
      <w:r>
        <w:rPr>
          <w:lang w:val="en-US"/>
        </w:rPr>
        <w:t xml:space="preserve">, </w:t>
      </w:r>
      <w:r w:rsidRPr="00EF4454">
        <w:rPr>
          <w:lang w:val="en-US"/>
        </w:rPr>
        <w:t>IEEE 802.1D-2004 for Spanning Tree Protocol</w:t>
      </w:r>
      <w:r>
        <w:rPr>
          <w:lang w:val="en-US"/>
        </w:rPr>
        <w:t xml:space="preserve">, </w:t>
      </w:r>
      <w:r w:rsidRPr="00EF4454">
        <w:rPr>
          <w:lang w:val="en-US"/>
        </w:rPr>
        <w:t>IEEE 802.1w for Rapid STP</w:t>
      </w:r>
      <w:r>
        <w:rPr>
          <w:lang w:val="en-US"/>
        </w:rPr>
        <w:t xml:space="preserve">, </w:t>
      </w:r>
      <w:r w:rsidRPr="00EF4454">
        <w:rPr>
          <w:lang w:val="en-US"/>
        </w:rPr>
        <w:t>IEEE 802.1s for Multiple Spanning Tree Protocol</w:t>
      </w:r>
      <w:r>
        <w:rPr>
          <w:lang w:val="en-US"/>
        </w:rPr>
        <w:t xml:space="preserve">, </w:t>
      </w:r>
      <w:r w:rsidRPr="00EF4454">
        <w:rPr>
          <w:lang w:val="en-US"/>
        </w:rPr>
        <w:t>IEEE 802.1Q for VLAN Tagging</w:t>
      </w:r>
      <w:r>
        <w:rPr>
          <w:lang w:val="en-US"/>
        </w:rPr>
        <w:t xml:space="preserve">, </w:t>
      </w:r>
      <w:r w:rsidRPr="00EF4454">
        <w:rPr>
          <w:lang w:val="en-US"/>
        </w:rPr>
        <w:t>IEEE 802.1p for Class of Service</w:t>
      </w:r>
      <w:r>
        <w:rPr>
          <w:lang w:val="en-US"/>
        </w:rPr>
        <w:t xml:space="preserve">, </w:t>
      </w:r>
      <w:r w:rsidRPr="00EF4454">
        <w:rPr>
          <w:lang w:val="en-US"/>
        </w:rPr>
        <w:t>IEEE 802.1X for Authentication</w:t>
      </w:r>
      <w:r>
        <w:rPr>
          <w:lang w:val="en-US"/>
        </w:rPr>
        <w:t xml:space="preserve">, </w:t>
      </w:r>
      <w:r w:rsidRPr="00EF4454">
        <w:rPr>
          <w:lang w:val="en-US"/>
        </w:rPr>
        <w:t>IEEE 802.3ad for Port Trunk with LACP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EF4454">
        <w:rPr>
          <w:lang w:val="en-US"/>
        </w:rPr>
        <w:t>Konfiguracja</w:t>
      </w:r>
      <w:proofErr w:type="spellEnd"/>
      <w:r w:rsidRPr="00EF4454">
        <w:rPr>
          <w:lang w:val="en-US"/>
        </w:rPr>
        <w:tab/>
        <w:t xml:space="preserve">IPv4/IPv6, SNMP v1/v2c/v3, LLDP, Port Mirror, DDM, RMON, DHCP Server/Client, DHCP Option 66/67/82, </w:t>
      </w:r>
      <w:proofErr w:type="spellStart"/>
      <w:r w:rsidRPr="00EF4454">
        <w:rPr>
          <w:lang w:val="en-US"/>
        </w:rPr>
        <w:t>BootP</w:t>
      </w:r>
      <w:proofErr w:type="spellEnd"/>
      <w:r w:rsidRPr="00EF4454">
        <w:rPr>
          <w:lang w:val="en-US"/>
        </w:rPr>
        <w:t>, TFTP, SMTP, RARP, Telnet, Syslog, SNMP Inform, Flow Control, Back Pressure Flow Control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EF4454">
        <w:rPr>
          <w:lang w:val="en-US"/>
        </w:rPr>
        <w:t>Filtrowanie</w:t>
      </w:r>
      <w:proofErr w:type="spellEnd"/>
      <w:r w:rsidRPr="00EF4454">
        <w:rPr>
          <w:lang w:val="en-US"/>
        </w:rPr>
        <w:tab/>
        <w:t>802.1Q VLAN, Port-Based VLAN, GVRP, IGMP v1/v2/v3, GMRP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r w:rsidRPr="00EF4454">
        <w:rPr>
          <w:lang w:val="en-US"/>
        </w:rPr>
        <w:t>Protokoły redundantne</w:t>
      </w:r>
      <w:r>
        <w:rPr>
          <w:lang w:val="en-US"/>
        </w:rPr>
        <w:t xml:space="preserve"> </w:t>
      </w:r>
      <w:r w:rsidRPr="00EF4454">
        <w:rPr>
          <w:lang w:val="en-US"/>
        </w:rPr>
        <w:t>STP, RSTP, MSTP, Turbo Ring v1/v2, Turbo Chain, Link Aggregation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Bezpieczeństwo</w:t>
      </w:r>
      <w:proofErr w:type="spellEnd"/>
      <w:r>
        <w:rPr>
          <w:lang w:val="en-US"/>
        </w:rPr>
        <w:t xml:space="preserve"> </w:t>
      </w:r>
      <w:r w:rsidRPr="00EF4454">
        <w:rPr>
          <w:lang w:val="en-US"/>
        </w:rPr>
        <w:t>RADIUS, TACACS+, SSL, SSH, Broadcast Storm Protection, Port Lock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Czas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systemowy</w:t>
      </w:r>
      <w:proofErr w:type="spellEnd"/>
      <w:r>
        <w:rPr>
          <w:lang w:val="en-US"/>
        </w:rPr>
        <w:t xml:space="preserve"> </w:t>
      </w:r>
      <w:r w:rsidRPr="00EF4454">
        <w:rPr>
          <w:lang w:val="en-US"/>
        </w:rPr>
        <w:t>SNTP, NTP Server/Client, IEEE 1588v2 PTP (software-based)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</w:pPr>
      <w:r w:rsidRPr="00EF4454">
        <w:t xml:space="preserve">Protokoły przemysłowe </w:t>
      </w:r>
      <w:proofErr w:type="spellStart"/>
      <w:r w:rsidRPr="00EF4454">
        <w:t>EtherNet</w:t>
      </w:r>
      <w:proofErr w:type="spellEnd"/>
      <w:r w:rsidRPr="00EF4454">
        <w:t xml:space="preserve">/IP, </w:t>
      </w:r>
      <w:proofErr w:type="spellStart"/>
      <w:r w:rsidRPr="00EF4454">
        <w:t>Modbus</w:t>
      </w:r>
      <w:proofErr w:type="spellEnd"/>
      <w:r w:rsidRPr="00EF4454">
        <w:t>/TCP, PROFINET IO</w:t>
      </w:r>
    </w:p>
    <w:p w:rsidR="00787CB9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r w:rsidRPr="00EF4454">
        <w:rPr>
          <w:lang w:val="en-US"/>
        </w:rPr>
        <w:t>MIB</w:t>
      </w:r>
      <w:r>
        <w:rPr>
          <w:lang w:val="en-US"/>
        </w:rPr>
        <w:t xml:space="preserve"> </w:t>
      </w:r>
      <w:r w:rsidRPr="00EF4454">
        <w:rPr>
          <w:lang w:val="en-US"/>
        </w:rPr>
        <w:t>MIB-II, Ethernet-Like MIB, P-BRIDGE MIB, Q-BRIDGE MIB, Bridge MIB, RSTP MIB, RMON MIB Group 1, 2, 3, 9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EF4454">
        <w:rPr>
          <w:lang w:val="en-US"/>
        </w:rPr>
        <w:t>Kolejki</w:t>
      </w:r>
      <w:proofErr w:type="spellEnd"/>
      <w:r w:rsidRPr="00EF4454">
        <w:rPr>
          <w:lang w:val="en-US"/>
        </w:rPr>
        <w:t xml:space="preserve"> </w:t>
      </w:r>
      <w:proofErr w:type="spellStart"/>
      <w:r w:rsidRPr="00EF4454">
        <w:rPr>
          <w:lang w:val="en-US"/>
        </w:rPr>
        <w:t>priorytetów</w:t>
      </w:r>
      <w:proofErr w:type="spellEnd"/>
      <w:r w:rsidRPr="00EF4454">
        <w:rPr>
          <w:lang w:val="en-US"/>
        </w:rPr>
        <w:t xml:space="preserve"> </w:t>
      </w:r>
      <w:proofErr w:type="spellStart"/>
      <w:r w:rsidRPr="00EF4454">
        <w:rPr>
          <w:lang w:val="en-US"/>
        </w:rPr>
        <w:t>ruchu</w:t>
      </w:r>
      <w:proofErr w:type="spellEnd"/>
      <w:r>
        <w:rPr>
          <w:lang w:val="en-US"/>
        </w:rPr>
        <w:t xml:space="preserve">: </w:t>
      </w:r>
      <w:r w:rsidRPr="00EF4454">
        <w:rPr>
          <w:lang w:val="en-US"/>
        </w:rPr>
        <w:t>4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EF4454">
        <w:rPr>
          <w:lang w:val="en-US"/>
        </w:rPr>
        <w:t>Maks</w:t>
      </w:r>
      <w:proofErr w:type="spellEnd"/>
      <w:r w:rsidRPr="00EF4454">
        <w:rPr>
          <w:lang w:val="en-US"/>
        </w:rPr>
        <w:t xml:space="preserve">. </w:t>
      </w:r>
      <w:proofErr w:type="spellStart"/>
      <w:r w:rsidRPr="00EF4454">
        <w:rPr>
          <w:lang w:val="en-US"/>
        </w:rPr>
        <w:t>liczba</w:t>
      </w:r>
      <w:proofErr w:type="spellEnd"/>
      <w:r w:rsidRPr="00EF4454">
        <w:rPr>
          <w:lang w:val="en-US"/>
        </w:rPr>
        <w:t xml:space="preserve"> </w:t>
      </w:r>
      <w:proofErr w:type="spellStart"/>
      <w:r w:rsidRPr="00EF4454">
        <w:rPr>
          <w:lang w:val="en-US"/>
        </w:rPr>
        <w:t>sieci</w:t>
      </w:r>
      <w:proofErr w:type="spellEnd"/>
      <w:r w:rsidRPr="00EF4454">
        <w:rPr>
          <w:lang w:val="en-US"/>
        </w:rPr>
        <w:t xml:space="preserve"> VLAN</w:t>
      </w:r>
      <w:r>
        <w:rPr>
          <w:lang w:val="en-US"/>
        </w:rPr>
        <w:t xml:space="preserve">: </w:t>
      </w:r>
      <w:r w:rsidRPr="00EF4454">
        <w:rPr>
          <w:lang w:val="en-US"/>
        </w:rPr>
        <w:t>64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</w:pPr>
      <w:r w:rsidRPr="00EF4454">
        <w:t>Zakres znaczników VLAN ID: VID 1 to 4094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</w:pPr>
      <w:r>
        <w:t xml:space="preserve">Grupy IGMP (IGMP </w:t>
      </w:r>
      <w:proofErr w:type="spellStart"/>
      <w:r>
        <w:t>Groups</w:t>
      </w:r>
      <w:proofErr w:type="spellEnd"/>
      <w:r>
        <w:t xml:space="preserve">): </w:t>
      </w:r>
      <w:r w:rsidRPr="00EF4454">
        <w:t>2048</w:t>
      </w:r>
    </w:p>
    <w:p w:rsidR="00787CB9" w:rsidRPr="00EF4454" w:rsidRDefault="00787CB9" w:rsidP="00787CB9">
      <w:pPr>
        <w:pStyle w:val="Akapitzlist"/>
        <w:numPr>
          <w:ilvl w:val="0"/>
          <w:numId w:val="5"/>
        </w:numPr>
      </w:pPr>
      <w:r w:rsidRPr="00EF4454">
        <w:t>Wielkość tabli</w:t>
      </w:r>
      <w:r>
        <w:t xml:space="preserve">cy adresów MAC (MAC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): </w:t>
      </w:r>
      <w:r w:rsidRPr="00EF4454">
        <w:t>8000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 w:rsidRPr="00EF4454">
        <w:t>Wielkość bufor</w:t>
      </w:r>
      <w:r>
        <w:t>a pakietów (</w:t>
      </w:r>
      <w:proofErr w:type="spellStart"/>
      <w:r>
        <w:t>Packet</w:t>
      </w:r>
      <w:proofErr w:type="spellEnd"/>
      <w:r>
        <w:t xml:space="preserve"> </w:t>
      </w:r>
      <w:proofErr w:type="spellStart"/>
      <w:r>
        <w:t>Buffer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): </w:t>
      </w:r>
      <w:r w:rsidRPr="00EF4454">
        <w:t xml:space="preserve">1 </w:t>
      </w:r>
      <w:proofErr w:type="spellStart"/>
      <w:r w:rsidRPr="00EF4454">
        <w:t>Mbit</w:t>
      </w:r>
      <w:proofErr w:type="spellEnd"/>
    </w:p>
    <w:p w:rsidR="00787CB9" w:rsidRDefault="00787CB9" w:rsidP="00787CB9">
      <w:pPr>
        <w:pStyle w:val="Akapitzlist"/>
        <w:numPr>
          <w:ilvl w:val="0"/>
          <w:numId w:val="5"/>
        </w:numPr>
      </w:pPr>
      <w:r>
        <w:lastRenderedPageBreak/>
        <w:t>Temperatura pracy: -10 do 60°C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Temperatura przechowywania: -40 do 85°C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Wilgotność: 5 do 95%</w:t>
      </w:r>
    </w:p>
    <w:p w:rsidR="00787CB9" w:rsidRPr="001964C7" w:rsidRDefault="00787CB9" w:rsidP="00787CB9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1964C7">
        <w:rPr>
          <w:lang w:val="en-US"/>
        </w:rPr>
        <w:t>Porty</w:t>
      </w:r>
      <w:proofErr w:type="spellEnd"/>
      <w:r w:rsidRPr="001964C7">
        <w:rPr>
          <w:lang w:val="en-US"/>
        </w:rPr>
        <w:t xml:space="preserve"> RJ45: </w:t>
      </w:r>
      <w:r>
        <w:rPr>
          <w:lang w:val="en-US"/>
        </w:rPr>
        <w:t xml:space="preserve">10/100BaseT(X) </w:t>
      </w:r>
      <w:r w:rsidRPr="001964C7">
        <w:rPr>
          <w:lang w:val="en-US"/>
        </w:rPr>
        <w:t>auto negotiation speed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Porty optyczne: porty 100/1000BaseSFP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Obudowa: Metal, stopień ochrony IP30</w:t>
      </w:r>
    </w:p>
    <w:p w:rsidR="00787CB9" w:rsidRDefault="00787CB9" w:rsidP="00787CB9">
      <w:pPr>
        <w:pStyle w:val="Akapitzlist"/>
        <w:numPr>
          <w:ilvl w:val="0"/>
          <w:numId w:val="5"/>
        </w:numPr>
      </w:pPr>
      <w:r>
        <w:t>Montaż na szynie DIN, na ścianie (wymagany dodatkowy uchwyt)</w:t>
      </w:r>
    </w:p>
    <w:p w:rsidR="00787CB9" w:rsidRDefault="00787CB9" w:rsidP="00787CB9">
      <w:pPr>
        <w:pStyle w:val="Akapitzlist"/>
        <w:rPr>
          <w:lang w:val="en-US"/>
        </w:rPr>
      </w:pPr>
      <w:proofErr w:type="spellStart"/>
      <w:r w:rsidRPr="001964C7">
        <w:rPr>
          <w:lang w:val="en-US"/>
        </w:rPr>
        <w:t>Certyfikaty</w:t>
      </w:r>
      <w:proofErr w:type="spellEnd"/>
      <w:r w:rsidRPr="001964C7">
        <w:rPr>
          <w:lang w:val="en-US"/>
        </w:rPr>
        <w:t>: Safety UL 508, Hazardous Location</w:t>
      </w:r>
      <w:r w:rsidRPr="001964C7">
        <w:rPr>
          <w:lang w:val="en-US"/>
        </w:rPr>
        <w:tab/>
        <w:t>UL/</w:t>
      </w:r>
      <w:proofErr w:type="spellStart"/>
      <w:r w:rsidRPr="001964C7">
        <w:rPr>
          <w:lang w:val="en-US"/>
        </w:rPr>
        <w:t>cUL</w:t>
      </w:r>
      <w:proofErr w:type="spellEnd"/>
      <w:r w:rsidRPr="001964C7">
        <w:rPr>
          <w:lang w:val="en-US"/>
        </w:rPr>
        <w:t xml:space="preserve"> Class I Division 2 Groups A/B/C/D, ATEX Zone 2 Ex </w:t>
      </w:r>
      <w:proofErr w:type="spellStart"/>
      <w:r w:rsidRPr="001964C7">
        <w:rPr>
          <w:lang w:val="en-US"/>
        </w:rPr>
        <w:t>nA</w:t>
      </w:r>
      <w:proofErr w:type="spellEnd"/>
      <w:r w:rsidRPr="001964C7">
        <w:rPr>
          <w:lang w:val="en-US"/>
        </w:rPr>
        <w:t xml:space="preserve"> </w:t>
      </w:r>
      <w:proofErr w:type="spellStart"/>
      <w:r w:rsidRPr="001964C7">
        <w:rPr>
          <w:lang w:val="en-US"/>
        </w:rPr>
        <w:t>nC</w:t>
      </w:r>
      <w:proofErr w:type="spellEnd"/>
      <w:r w:rsidRPr="001964C7">
        <w:rPr>
          <w:lang w:val="en-US"/>
        </w:rPr>
        <w:t xml:space="preserve"> IIC T4 </w:t>
      </w:r>
      <w:proofErr w:type="spellStart"/>
      <w:r w:rsidRPr="001964C7">
        <w:rPr>
          <w:lang w:val="en-US"/>
        </w:rPr>
        <w:t>Gc</w:t>
      </w:r>
      <w:proofErr w:type="spellEnd"/>
      <w:r w:rsidRPr="001964C7">
        <w:rPr>
          <w:lang w:val="en-US"/>
        </w:rPr>
        <w:t>, EMC</w:t>
      </w:r>
      <w:r w:rsidRPr="001964C7">
        <w:rPr>
          <w:lang w:val="en-US"/>
        </w:rPr>
        <w:tab/>
        <w:t>EN 61000-6-2/6-4, EMI</w:t>
      </w:r>
      <w:r w:rsidRPr="001964C7">
        <w:rPr>
          <w:lang w:val="en-US"/>
        </w:rPr>
        <w:tab/>
        <w:t>CISPR 22, FCC Part 15B Class A, EMS</w:t>
      </w:r>
      <w:r w:rsidRPr="001964C7">
        <w:rPr>
          <w:lang w:val="en-US"/>
        </w:rPr>
        <w:tab/>
        <w:t xml:space="preserve">IEC 61000-4-2 ESD: Contact: 8 kV; Air: 15 kV, IEC 61000-4-3 RS: 80 MHz to 1 GHz: 10 V/m, IEC 61000-4-4 EFT: Power: 4 kV; Signal: 4 kV, IEC 61000-4-5 Surge: Power: 4 kV; Signal: 4 kV, IEC 61000-4-6 CS: Signal: 10 V, IEC 61000-4-8, Electrical Substations IEC 61850-3, IEEE 1613, Traffic Control </w:t>
      </w:r>
      <w:proofErr w:type="spellStart"/>
      <w:r w:rsidRPr="001964C7">
        <w:rPr>
          <w:lang w:val="en-US"/>
        </w:rPr>
        <w:t>Nema</w:t>
      </w:r>
      <w:proofErr w:type="spellEnd"/>
      <w:r w:rsidRPr="001964C7">
        <w:rPr>
          <w:lang w:val="en-US"/>
        </w:rPr>
        <w:t xml:space="preserve"> TS2, Rail Traffic</w:t>
      </w:r>
      <w:r w:rsidRPr="001964C7">
        <w:rPr>
          <w:lang w:val="en-US"/>
        </w:rPr>
        <w:tab/>
        <w:t>EN 50121-4</w:t>
      </w:r>
      <w:r>
        <w:rPr>
          <w:lang w:val="en-US"/>
        </w:rPr>
        <w:t xml:space="preserve">, Marine </w:t>
      </w:r>
      <w:r w:rsidRPr="001964C7">
        <w:rPr>
          <w:lang w:val="en-US"/>
        </w:rPr>
        <w:t>DNV, GL, LR, ABS, NK</w:t>
      </w:r>
      <w:r>
        <w:rPr>
          <w:lang w:val="en-US"/>
        </w:rPr>
        <w:t xml:space="preserve">, Shock </w:t>
      </w:r>
      <w:r w:rsidRPr="001964C7">
        <w:rPr>
          <w:lang w:val="en-US"/>
        </w:rPr>
        <w:t>IEC 60068-2-27</w:t>
      </w:r>
      <w:r>
        <w:rPr>
          <w:lang w:val="en-US"/>
        </w:rPr>
        <w:t xml:space="preserve">, Freefall </w:t>
      </w:r>
      <w:r w:rsidRPr="001964C7">
        <w:rPr>
          <w:lang w:val="en-US"/>
        </w:rPr>
        <w:t>IEC60068-2-32</w:t>
      </w:r>
      <w:r>
        <w:rPr>
          <w:lang w:val="en-US"/>
        </w:rPr>
        <w:t xml:space="preserve">, Vibration </w:t>
      </w:r>
      <w:r w:rsidRPr="001964C7">
        <w:rPr>
          <w:lang w:val="en-US"/>
        </w:rPr>
        <w:t>IEC60068-2-6</w:t>
      </w:r>
    </w:p>
    <w:p w:rsidR="00787CB9" w:rsidRDefault="00787CB9" w:rsidP="00787CB9">
      <w:pPr>
        <w:pStyle w:val="Akapitzlist"/>
        <w:rPr>
          <w:lang w:val="en-US"/>
        </w:rPr>
      </w:pPr>
    </w:p>
    <w:p w:rsidR="00787CB9" w:rsidRPr="00787CB9" w:rsidRDefault="00787CB9" w:rsidP="00787CB9">
      <w:pPr>
        <w:pStyle w:val="Akapitzlist"/>
        <w:numPr>
          <w:ilvl w:val="0"/>
          <w:numId w:val="3"/>
        </w:numPr>
      </w:pPr>
      <w:r w:rsidRPr="00787CB9">
        <w:t xml:space="preserve">W załączeniu mapy z dokumentacji powykonawczej system ITS </w:t>
      </w:r>
    </w:p>
    <w:sectPr w:rsidR="00787CB9" w:rsidRPr="00787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F42CC"/>
    <w:multiLevelType w:val="hybridMultilevel"/>
    <w:tmpl w:val="AA02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D1F3A93"/>
    <w:multiLevelType w:val="hybridMultilevel"/>
    <w:tmpl w:val="A0347A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3F13AE"/>
    <w:multiLevelType w:val="multilevel"/>
    <w:tmpl w:val="5B3C82C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DFA2F8B"/>
    <w:multiLevelType w:val="hybridMultilevel"/>
    <w:tmpl w:val="ABFA1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347"/>
    <w:multiLevelType w:val="hybridMultilevel"/>
    <w:tmpl w:val="33547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84"/>
    <w:rsid w:val="000D10B4"/>
    <w:rsid w:val="001028C4"/>
    <w:rsid w:val="00150A75"/>
    <w:rsid w:val="00287645"/>
    <w:rsid w:val="004740B7"/>
    <w:rsid w:val="00533384"/>
    <w:rsid w:val="00787CB9"/>
    <w:rsid w:val="009072B6"/>
    <w:rsid w:val="00C7778D"/>
    <w:rsid w:val="00F8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791FA-0CA7-4260-BF23-7BFBDFD4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33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952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2019-03-07T12:54:00Z</dcterms:created>
  <dcterms:modified xsi:type="dcterms:W3CDTF">2019-03-08T08:06:00Z</dcterms:modified>
</cp:coreProperties>
</file>